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03" w:rsidRDefault="00B47803" w:rsidP="00B47803">
      <w:pPr>
        <w:pStyle w:val="3"/>
        <w:tabs>
          <w:tab w:val="left" w:pos="0"/>
        </w:tabs>
        <w:spacing w:before="260" w:beforeAutospacing="0" w:after="260" w:afterAutospacing="0"/>
        <w:ind w:left="542"/>
      </w:pPr>
      <w:bookmarkStart w:id="0" w:name="_Toc344452078"/>
      <w:bookmarkStart w:id="1" w:name="_Toc377460490"/>
      <w:bookmarkStart w:id="2" w:name="_Toc404846807"/>
      <w:bookmarkStart w:id="3" w:name="_Toc21917"/>
      <w:bookmarkStart w:id="4" w:name="_Toc406755773"/>
      <w:bookmarkStart w:id="5" w:name="_Toc8441"/>
      <w:bookmarkStart w:id="6" w:name="_Toc152"/>
      <w:bookmarkStart w:id="7" w:name="_Toc249502305"/>
      <w:bookmarkStart w:id="8" w:name="_Toc279766875"/>
      <w:bookmarkStart w:id="9" w:name="_Toc280864589"/>
      <w:bookmarkStart w:id="10" w:name="_Toc246134336"/>
      <w:bookmarkStart w:id="11" w:name="_Toc246924417"/>
      <w:bookmarkStart w:id="12" w:name="_Toc372191558"/>
      <w:bookmarkStart w:id="13" w:name="_Toc248912506"/>
      <w:bookmarkStart w:id="14" w:name="_Toc249498220"/>
      <w:bookmarkStart w:id="15" w:name="_Toc285609895"/>
      <w:bookmarkStart w:id="16" w:name="_Toc315873777"/>
      <w:r>
        <w:rPr>
          <w:rFonts w:hint="eastAsia"/>
        </w:rPr>
        <w:t>（三）水肥一体化技术</w:t>
      </w:r>
      <w:bookmarkEnd w:id="0"/>
      <w:bookmarkEnd w:id="1"/>
      <w:bookmarkEnd w:id="2"/>
      <w:bookmarkEnd w:id="3"/>
      <w:bookmarkEnd w:id="4"/>
      <w:bookmarkEnd w:id="5"/>
      <w:bookmarkEnd w:id="6"/>
    </w:p>
    <w:p w:rsidR="00B47803" w:rsidRDefault="00B47803" w:rsidP="00B47803">
      <w:pPr>
        <w:adjustRightInd w:val="0"/>
        <w:spacing w:line="320" w:lineRule="exact"/>
        <w:ind w:firstLine="422"/>
        <w:jc w:val="left"/>
      </w:pPr>
      <w:r>
        <w:rPr>
          <w:rFonts w:hAnsi="宋体" w:hint="eastAsia"/>
          <w:b/>
          <w:bCs/>
        </w:rPr>
        <w:t>技术概述：</w:t>
      </w:r>
      <w:r>
        <w:rPr>
          <w:rFonts w:hAnsi="宋体" w:hint="eastAsia"/>
        </w:rPr>
        <w:t>水肥一体化技术是管道灌溉与科学施肥的有机结合，就是将肥料溶解在水中，通过管道灌溉系统，灌溉和施肥同时进行，适时适量、方便快捷地将水分和养分输送到作物根部，满足作物水肥需求，实现水肥一体化管理和高效利用的节水农业技术。</w:t>
      </w:r>
    </w:p>
    <w:p w:rsidR="00B47803" w:rsidRDefault="00B47803" w:rsidP="00B47803">
      <w:pPr>
        <w:spacing w:line="320" w:lineRule="exact"/>
        <w:ind w:firstLine="422"/>
        <w:jc w:val="left"/>
      </w:pPr>
      <w:r>
        <w:rPr>
          <w:rFonts w:hAnsi="宋体" w:hint="eastAsia"/>
          <w:b/>
          <w:bCs/>
        </w:rPr>
        <w:t>增产增效情况：</w:t>
      </w:r>
      <w:r>
        <w:rPr>
          <w:rFonts w:hAnsi="宋体" w:hint="eastAsia"/>
        </w:rPr>
        <w:t>蔬菜、水果节水</w:t>
      </w:r>
      <w:r>
        <w:t>40</w:t>
      </w:r>
      <w:r>
        <w:rPr>
          <w:rFonts w:hAnsi="宋体" w:hint="eastAsia"/>
        </w:rPr>
        <w:t>％，节肥</w:t>
      </w:r>
      <w:r>
        <w:t>30</w:t>
      </w:r>
      <w:r>
        <w:rPr>
          <w:rFonts w:hAnsi="宋体" w:hint="eastAsia"/>
        </w:rPr>
        <w:t>％，增产</w:t>
      </w:r>
      <w:r>
        <w:rPr>
          <w:rFonts w:hAnsi="宋体" w:hint="eastAsia"/>
        </w:rPr>
        <w:t>2</w:t>
      </w:r>
      <w:r>
        <w:t>0</w:t>
      </w:r>
      <w:r>
        <w:rPr>
          <w:rFonts w:hAnsi="宋体" w:hint="eastAsia"/>
        </w:rPr>
        <w:t>％～</w:t>
      </w:r>
      <w:r>
        <w:rPr>
          <w:rFonts w:hAnsi="宋体" w:hint="eastAsia"/>
        </w:rPr>
        <w:t>5</w:t>
      </w:r>
      <w:r>
        <w:t>0</w:t>
      </w:r>
      <w:r>
        <w:rPr>
          <w:rFonts w:hAnsi="宋体" w:hint="eastAsia"/>
        </w:rPr>
        <w:t>％。小麦、玉米、马铃薯等节水</w:t>
      </w:r>
      <w:r>
        <w:t>40%</w:t>
      </w:r>
      <w:r>
        <w:rPr>
          <w:rFonts w:hAnsi="宋体" w:hint="eastAsia"/>
        </w:rPr>
        <w:t>，节肥</w:t>
      </w:r>
      <w:r>
        <w:t>20-30%</w:t>
      </w:r>
      <w:r>
        <w:rPr>
          <w:rFonts w:hAnsi="宋体" w:hint="eastAsia"/>
        </w:rPr>
        <w:t>，增产</w:t>
      </w:r>
      <w:r>
        <w:rPr>
          <w:rFonts w:hAnsi="宋体" w:hint="eastAsia"/>
        </w:rPr>
        <w:t>1</w:t>
      </w:r>
      <w:r>
        <w:t>0%-</w:t>
      </w:r>
      <w:r>
        <w:rPr>
          <w:rFonts w:hint="eastAsia"/>
        </w:rPr>
        <w:t>2</w:t>
      </w:r>
      <w:r>
        <w:t>0%</w:t>
      </w:r>
      <w:r>
        <w:rPr>
          <w:rFonts w:hAnsi="宋体" w:hint="eastAsia"/>
        </w:rPr>
        <w:t>。</w:t>
      </w:r>
    </w:p>
    <w:p w:rsidR="00B47803" w:rsidRDefault="00B47803" w:rsidP="00B47803">
      <w:pPr>
        <w:spacing w:line="320" w:lineRule="exact"/>
        <w:ind w:firstLine="422"/>
        <w:jc w:val="left"/>
        <w:rPr>
          <w:b/>
          <w:bCs/>
        </w:rPr>
      </w:pPr>
      <w:r>
        <w:rPr>
          <w:rFonts w:hAnsi="宋体" w:hint="eastAsia"/>
          <w:b/>
          <w:bCs/>
        </w:rPr>
        <w:t>技术要点：</w:t>
      </w:r>
    </w:p>
    <w:p w:rsidR="00B47803" w:rsidRDefault="00B47803" w:rsidP="009275C2">
      <w:pPr>
        <w:pStyle w:val="a5"/>
        <w:spacing w:line="320" w:lineRule="exact"/>
        <w:ind w:firstLineChars="196" w:firstLine="413"/>
        <w:rPr>
          <w:bCs/>
        </w:rPr>
      </w:pPr>
      <w:r w:rsidRPr="009275C2">
        <w:rPr>
          <w:rFonts w:hAnsi="宋体" w:hint="eastAsia"/>
          <w:b/>
          <w:bCs/>
        </w:rPr>
        <w:t>1.水源准备：</w:t>
      </w:r>
      <w:r>
        <w:rPr>
          <w:rFonts w:hint="eastAsia"/>
          <w:bCs/>
        </w:rPr>
        <w:t>江河、湖泊、库塘、井泉等均可作为灌溉水源，水质应符合</w:t>
      </w:r>
      <w:r>
        <w:rPr>
          <w:rFonts w:hint="eastAsia"/>
          <w:bCs/>
        </w:rPr>
        <w:t xml:space="preserve">GB 5084 </w:t>
      </w:r>
      <w:r>
        <w:rPr>
          <w:rFonts w:hint="eastAsia"/>
          <w:bCs/>
        </w:rPr>
        <w:t>农田灌溉水质标准要求，并针对灌溉系统要求进行相应处理。使用微咸水、再生水等特殊水质水源时应进行论证。</w:t>
      </w:r>
    </w:p>
    <w:p w:rsidR="00B47803" w:rsidRDefault="00B47803" w:rsidP="009275C2">
      <w:pPr>
        <w:pStyle w:val="a5"/>
        <w:spacing w:line="320" w:lineRule="exact"/>
        <w:ind w:firstLineChars="196" w:firstLine="413"/>
        <w:rPr>
          <w:bCs/>
        </w:rPr>
      </w:pPr>
      <w:r w:rsidRPr="009275C2">
        <w:rPr>
          <w:rFonts w:hAnsi="宋体" w:hint="eastAsia"/>
          <w:b/>
          <w:bCs/>
        </w:rPr>
        <w:t>2.灌溉设备：</w:t>
      </w:r>
      <w:r>
        <w:rPr>
          <w:rFonts w:hint="eastAsia"/>
          <w:bCs/>
        </w:rPr>
        <w:t>灌溉设备应满足农业生产和灌溉施肥需要，保证灌溉施肥系统安全，并符合经济适用的要求。灌溉设备应符合国家现行相关标准的规定。</w:t>
      </w:r>
    </w:p>
    <w:p w:rsidR="00B47803" w:rsidRDefault="00B47803" w:rsidP="009275C2">
      <w:pPr>
        <w:pStyle w:val="a5"/>
        <w:spacing w:line="320" w:lineRule="exact"/>
        <w:ind w:firstLineChars="196" w:firstLine="413"/>
        <w:rPr>
          <w:bCs/>
        </w:rPr>
      </w:pPr>
      <w:r w:rsidRPr="009275C2">
        <w:rPr>
          <w:rFonts w:hAnsi="宋体" w:hint="eastAsia"/>
          <w:b/>
          <w:bCs/>
        </w:rPr>
        <w:t>3.施肥设备：</w:t>
      </w:r>
      <w:r>
        <w:rPr>
          <w:rFonts w:hint="eastAsia"/>
          <w:bCs/>
        </w:rPr>
        <w:t>主要有压差式施肥罐、文丘里施肥器、施肥泵、施肥机、施肥池等，根据系统要求、应用面积、施肥精度等进行选择</w:t>
      </w:r>
      <w:r>
        <w:rPr>
          <w:bCs/>
        </w:rPr>
        <w:t>。</w:t>
      </w:r>
      <w:r>
        <w:rPr>
          <w:rFonts w:hint="eastAsia"/>
          <w:bCs/>
        </w:rPr>
        <w:t>压差式</w:t>
      </w:r>
      <w:proofErr w:type="gramStart"/>
      <w:r>
        <w:rPr>
          <w:rFonts w:hint="eastAsia"/>
          <w:bCs/>
        </w:rPr>
        <w:t>施肥罐应使用</w:t>
      </w:r>
      <w:proofErr w:type="gramEnd"/>
      <w:r>
        <w:rPr>
          <w:rFonts w:hint="eastAsia"/>
          <w:bCs/>
        </w:rPr>
        <w:t>抗腐蚀、耐压材料，开口较大、高度适中、便于操作，抗压能力不低于所处系统的最大工作压力。文丘里</w:t>
      </w:r>
      <w:proofErr w:type="gramStart"/>
      <w:r>
        <w:rPr>
          <w:rFonts w:hint="eastAsia"/>
          <w:bCs/>
        </w:rPr>
        <w:t>施肥器</w:t>
      </w:r>
      <w:proofErr w:type="gramEnd"/>
      <w:r>
        <w:rPr>
          <w:rFonts w:hint="eastAsia"/>
          <w:bCs/>
        </w:rPr>
        <w:t>应使用抗腐蚀材料，根据控制面积、管道流量和压力等进行选择。施肥泵和施肥机应使用耐腐蚀材料，或在与肥料接触的部件上涂防腐层。施肥池适用于控制面积较大的灌溉施肥系统，应增设防护措施</w:t>
      </w:r>
      <w:r>
        <w:rPr>
          <w:bCs/>
        </w:rPr>
        <w:t>。</w:t>
      </w:r>
    </w:p>
    <w:p w:rsidR="00B47803" w:rsidRDefault="00B47803" w:rsidP="009275C2">
      <w:pPr>
        <w:pStyle w:val="a5"/>
        <w:spacing w:line="320" w:lineRule="exact"/>
        <w:ind w:firstLineChars="196" w:firstLine="413"/>
        <w:rPr>
          <w:bCs/>
        </w:rPr>
      </w:pPr>
      <w:r w:rsidRPr="009275C2">
        <w:rPr>
          <w:rFonts w:hAnsi="宋体" w:hint="eastAsia"/>
          <w:b/>
          <w:bCs/>
        </w:rPr>
        <w:t>4.系统布设：</w:t>
      </w:r>
      <w:r>
        <w:rPr>
          <w:rFonts w:hint="eastAsia"/>
          <w:bCs/>
        </w:rPr>
        <w:t>干支管应根据地形、水源、作物分布和灌水</w:t>
      </w:r>
      <w:proofErr w:type="gramStart"/>
      <w:r>
        <w:rPr>
          <w:rFonts w:hint="eastAsia"/>
          <w:bCs/>
        </w:rPr>
        <w:t>器类型</w:t>
      </w:r>
      <w:proofErr w:type="gramEnd"/>
      <w:r>
        <w:rPr>
          <w:rFonts w:hint="eastAsia"/>
          <w:bCs/>
        </w:rPr>
        <w:t>等进行布设，相邻两级管道应相互垂直，使管道长度最短而控制面积最大。当水源离灌区较近且灌溉面积较小时，可只设支管，不设干管。在丘陵山地，干管应沿山脊或等高线布置，支管则垂直于等高线。在平地，干支管应尽量双向控制，两侧布置下级管道。</w:t>
      </w:r>
    </w:p>
    <w:p w:rsidR="00B47803" w:rsidRDefault="00B47803" w:rsidP="00B47803">
      <w:pPr>
        <w:pStyle w:val="a5"/>
        <w:spacing w:line="320" w:lineRule="exact"/>
        <w:ind w:firstLine="420"/>
        <w:rPr>
          <w:bCs/>
        </w:rPr>
      </w:pPr>
      <w:r>
        <w:rPr>
          <w:rFonts w:hint="eastAsia"/>
          <w:bCs/>
        </w:rPr>
        <w:t>毛管和灌水器应根据作物种类、种植方式、土壤类型、灌水</w:t>
      </w:r>
      <w:proofErr w:type="gramStart"/>
      <w:r>
        <w:rPr>
          <w:rFonts w:hint="eastAsia"/>
          <w:bCs/>
        </w:rPr>
        <w:t>器类型</w:t>
      </w:r>
      <w:proofErr w:type="gramEnd"/>
      <w:r>
        <w:rPr>
          <w:rFonts w:hint="eastAsia"/>
          <w:bCs/>
        </w:rPr>
        <w:t>和流量进行布置。对条播密植作物，毛管应平行作物种植方向布置；果园等乔灌木，土壤为中壤土或粘壤土时，可选择每行树一条滴灌管，土壤为沙壤土时，可选择每行树两条滴灌管；果树的冠幅和栽植行距较大、栽植不规则或根系稀少时，应选择环绕式布置。</w:t>
      </w:r>
    </w:p>
    <w:p w:rsidR="00B47803" w:rsidRDefault="00B47803" w:rsidP="00B47803">
      <w:pPr>
        <w:pStyle w:val="a5"/>
        <w:spacing w:line="320" w:lineRule="exact"/>
        <w:ind w:firstLine="420"/>
        <w:rPr>
          <w:bCs/>
        </w:rPr>
      </w:pPr>
      <w:r>
        <w:rPr>
          <w:rFonts w:hint="eastAsia"/>
          <w:bCs/>
        </w:rPr>
        <w:t>水源部分应安装逆止阀，防止水肥污染水源。根据水源水质和灌水器对水质的要求选择过滤器，必要时采用不同类型的过滤器组合进行多级过滤。滴灌过滤器精度不低于</w:t>
      </w:r>
      <w:r>
        <w:rPr>
          <w:rFonts w:hint="eastAsia"/>
          <w:bCs/>
        </w:rPr>
        <w:t>120</w:t>
      </w:r>
      <w:r>
        <w:rPr>
          <w:rFonts w:hint="eastAsia"/>
          <w:bCs/>
        </w:rPr>
        <w:t>目，微喷过滤器精度为</w:t>
      </w:r>
      <w:r>
        <w:rPr>
          <w:rFonts w:hint="eastAsia"/>
          <w:bCs/>
        </w:rPr>
        <w:t>60</w:t>
      </w:r>
      <w:r>
        <w:rPr>
          <w:rFonts w:hint="eastAsia"/>
          <w:bCs/>
        </w:rPr>
        <w:t>目</w:t>
      </w:r>
      <w:r>
        <w:rPr>
          <w:rFonts w:hint="eastAsia"/>
          <w:bCs/>
        </w:rPr>
        <w:t>-80</w:t>
      </w:r>
      <w:r>
        <w:rPr>
          <w:rFonts w:hint="eastAsia"/>
          <w:bCs/>
        </w:rPr>
        <w:t>目，大型喷灌机过滤器精度为</w:t>
      </w:r>
      <w:r>
        <w:rPr>
          <w:rFonts w:hint="eastAsia"/>
          <w:bCs/>
        </w:rPr>
        <w:t>20</w:t>
      </w:r>
      <w:r>
        <w:rPr>
          <w:rFonts w:hint="eastAsia"/>
          <w:bCs/>
        </w:rPr>
        <w:t>目</w:t>
      </w:r>
      <w:r>
        <w:rPr>
          <w:rFonts w:hint="eastAsia"/>
          <w:bCs/>
        </w:rPr>
        <w:t>-60</w:t>
      </w:r>
      <w:r>
        <w:rPr>
          <w:rFonts w:hint="eastAsia"/>
          <w:bCs/>
        </w:rPr>
        <w:t>目。</w:t>
      </w:r>
    </w:p>
    <w:p w:rsidR="00B47803" w:rsidRDefault="00B47803" w:rsidP="00B47803">
      <w:pPr>
        <w:pStyle w:val="a5"/>
        <w:spacing w:line="320" w:lineRule="exact"/>
        <w:ind w:firstLine="420"/>
        <w:rPr>
          <w:bCs/>
        </w:rPr>
      </w:pPr>
      <w:r>
        <w:rPr>
          <w:rFonts w:hint="eastAsia"/>
          <w:bCs/>
        </w:rPr>
        <w:t>系统安装后，应进行管道水压试验、系统试运行和工程验收，</w:t>
      </w:r>
      <w:r>
        <w:rPr>
          <w:rFonts w:hint="eastAsia"/>
          <w:bCs/>
          <w:szCs w:val="24"/>
        </w:rPr>
        <w:t>灌水均匀系数</w:t>
      </w:r>
      <w:r>
        <w:rPr>
          <w:rFonts w:hint="eastAsia"/>
          <w:bCs/>
        </w:rPr>
        <w:t>应达到</w:t>
      </w:r>
      <w:r>
        <w:rPr>
          <w:rFonts w:hint="eastAsia"/>
          <w:bCs/>
        </w:rPr>
        <w:t>0.8</w:t>
      </w:r>
      <w:r>
        <w:rPr>
          <w:rFonts w:hint="eastAsia"/>
          <w:bCs/>
        </w:rPr>
        <w:t>以上。</w:t>
      </w:r>
    </w:p>
    <w:p w:rsidR="00B47803" w:rsidRDefault="00B47803" w:rsidP="009275C2">
      <w:pPr>
        <w:pStyle w:val="a5"/>
        <w:spacing w:line="320" w:lineRule="exact"/>
        <w:ind w:firstLine="422"/>
        <w:rPr>
          <w:bCs/>
        </w:rPr>
      </w:pPr>
      <w:r w:rsidRPr="009275C2">
        <w:rPr>
          <w:rFonts w:hAnsi="宋体" w:hint="eastAsia"/>
          <w:b/>
          <w:bCs/>
        </w:rPr>
        <w:t>5.水分管理：</w:t>
      </w:r>
      <w:r>
        <w:rPr>
          <w:rFonts w:hint="eastAsia"/>
          <w:bCs/>
        </w:rPr>
        <w:t>收集气象、土壤、农业等相关资料，开展墒情监测，根据作物需水规律、土壤墒情、根系分布、土壤性状、设施条件和节水农业技术措施等制定灌溉制度，包括作物全生育期的灌溉定额、灌水次数、灌水时间和灌水定额等。</w:t>
      </w:r>
    </w:p>
    <w:p w:rsidR="00B47803" w:rsidRDefault="00B47803" w:rsidP="00B47803">
      <w:pPr>
        <w:pStyle w:val="a5"/>
        <w:spacing w:line="320" w:lineRule="exact"/>
        <w:ind w:firstLine="420"/>
      </w:pPr>
      <w:r>
        <w:rPr>
          <w:rFonts w:hint="eastAsia"/>
          <w:bCs/>
        </w:rPr>
        <w:t>按照作物根系特点确定计划湿润深度，使灌溉水分布在根系层。</w:t>
      </w:r>
      <w:r>
        <w:rPr>
          <w:bCs/>
        </w:rPr>
        <w:t>蔬菜</w:t>
      </w:r>
      <w:r>
        <w:rPr>
          <w:rFonts w:hint="eastAsia"/>
          <w:bCs/>
        </w:rPr>
        <w:t>适宜的计划</w:t>
      </w:r>
      <w:r>
        <w:rPr>
          <w:bCs/>
        </w:rPr>
        <w:t>湿润深度</w:t>
      </w:r>
      <w:r>
        <w:rPr>
          <w:rFonts w:hint="eastAsia"/>
          <w:bCs/>
        </w:rPr>
        <w:t>一般为</w:t>
      </w:r>
      <w:r>
        <w:rPr>
          <w:bCs/>
        </w:rPr>
        <w:t>0.2m-0.3m</w:t>
      </w:r>
      <w:r>
        <w:rPr>
          <w:bCs/>
        </w:rPr>
        <w:t>。果树</w:t>
      </w:r>
      <w:r>
        <w:rPr>
          <w:rFonts w:hint="eastAsia"/>
          <w:bCs/>
        </w:rPr>
        <w:t>因品种、树龄不同，适宜的计划</w:t>
      </w:r>
      <w:r>
        <w:rPr>
          <w:bCs/>
        </w:rPr>
        <w:t>湿润深度</w:t>
      </w:r>
      <w:r>
        <w:rPr>
          <w:rFonts w:hint="eastAsia"/>
          <w:bCs/>
        </w:rPr>
        <w:t>为</w:t>
      </w:r>
      <w:r>
        <w:rPr>
          <w:bCs/>
        </w:rPr>
        <w:t>0.</w:t>
      </w:r>
      <w:r>
        <w:rPr>
          <w:rFonts w:hint="eastAsia"/>
          <w:bCs/>
        </w:rPr>
        <w:t>3</w:t>
      </w:r>
      <w:r>
        <w:rPr>
          <w:bCs/>
        </w:rPr>
        <w:t>m -</w:t>
      </w:r>
      <w:r>
        <w:rPr>
          <w:rFonts w:hint="eastAsia"/>
          <w:bCs/>
        </w:rPr>
        <w:t>0</w:t>
      </w:r>
      <w:r>
        <w:rPr>
          <w:bCs/>
        </w:rPr>
        <w:t>.</w:t>
      </w:r>
      <w:r>
        <w:rPr>
          <w:rFonts w:hint="eastAsia"/>
          <w:bCs/>
        </w:rPr>
        <w:t>8</w:t>
      </w:r>
      <w:r>
        <w:rPr>
          <w:bCs/>
        </w:rPr>
        <w:t>m</w:t>
      </w:r>
      <w:r>
        <w:rPr>
          <w:bCs/>
        </w:rPr>
        <w:t>。</w:t>
      </w:r>
      <w:proofErr w:type="spellStart"/>
      <w:r>
        <w:rPr>
          <w:rFonts w:hAnsi="宋体"/>
          <w:bCs/>
        </w:rPr>
        <w:t>灌溉上限</w:t>
      </w:r>
      <w:proofErr w:type="spellEnd"/>
      <w:r>
        <w:rPr>
          <w:bCs/>
        </w:rPr>
        <w:t>一般</w:t>
      </w:r>
      <w:r>
        <w:rPr>
          <w:rFonts w:hint="eastAsia"/>
          <w:bCs/>
        </w:rPr>
        <w:t>为</w:t>
      </w:r>
      <w:r>
        <w:rPr>
          <w:bCs/>
        </w:rPr>
        <w:t>田间持水量的</w:t>
      </w:r>
      <w:r>
        <w:rPr>
          <w:bCs/>
        </w:rPr>
        <w:t>85%</w:t>
      </w:r>
      <w:r>
        <w:rPr>
          <w:rFonts w:hint="eastAsia"/>
          <w:bCs/>
        </w:rPr>
        <w:t>-</w:t>
      </w:r>
      <w:r>
        <w:rPr>
          <w:bCs/>
        </w:rPr>
        <w:t>95%</w:t>
      </w:r>
      <w:r>
        <w:rPr>
          <w:rFonts w:hint="eastAsia"/>
          <w:bCs/>
        </w:rPr>
        <w:t>，灌</w:t>
      </w:r>
      <w:r>
        <w:rPr>
          <w:rFonts w:hint="eastAsia"/>
        </w:rPr>
        <w:t>溉下限一般为田间持水量的</w:t>
      </w:r>
      <w:r>
        <w:rPr>
          <w:rFonts w:hint="eastAsia"/>
        </w:rPr>
        <w:t>55%-65%</w:t>
      </w:r>
      <w:r>
        <w:rPr>
          <w:rFonts w:hint="eastAsia"/>
        </w:rPr>
        <w:t>。</w:t>
      </w:r>
    </w:p>
    <w:p w:rsidR="00B47803" w:rsidRDefault="00B47803" w:rsidP="00B47803">
      <w:pPr>
        <w:pStyle w:val="a5"/>
        <w:spacing w:line="320" w:lineRule="exact"/>
        <w:ind w:firstLine="420"/>
        <w:rPr>
          <w:rFonts w:eastAsiaTheme="minorEastAsia"/>
        </w:rPr>
      </w:pPr>
      <w:r>
        <w:rPr>
          <w:rFonts w:hint="eastAsia"/>
        </w:rPr>
        <w:t>土壤湿润比按表</w:t>
      </w:r>
      <w:r w:rsidR="009275C2">
        <w:rPr>
          <w:rFonts w:eastAsiaTheme="minorEastAsia" w:hint="eastAsia"/>
        </w:rPr>
        <w:t>1</w:t>
      </w:r>
      <w:r>
        <w:rPr>
          <w:rFonts w:hint="eastAsia"/>
        </w:rPr>
        <w:t>确定。</w:t>
      </w:r>
    </w:p>
    <w:p w:rsidR="00270DE8" w:rsidRDefault="00270DE8" w:rsidP="00B47803">
      <w:pPr>
        <w:pStyle w:val="a5"/>
        <w:spacing w:line="320" w:lineRule="exact"/>
        <w:ind w:firstLine="420"/>
        <w:rPr>
          <w:rFonts w:eastAsiaTheme="minorEastAsia"/>
        </w:rPr>
      </w:pPr>
    </w:p>
    <w:p w:rsidR="00270DE8" w:rsidRDefault="00270DE8" w:rsidP="00B47803">
      <w:pPr>
        <w:pStyle w:val="a5"/>
        <w:spacing w:line="320" w:lineRule="exact"/>
        <w:ind w:firstLine="420"/>
        <w:rPr>
          <w:rFonts w:eastAsiaTheme="minorEastAsia"/>
        </w:rPr>
      </w:pPr>
    </w:p>
    <w:p w:rsidR="00270DE8" w:rsidRPr="00270DE8" w:rsidRDefault="00270DE8" w:rsidP="00B47803">
      <w:pPr>
        <w:pStyle w:val="a5"/>
        <w:spacing w:line="320" w:lineRule="exact"/>
        <w:ind w:firstLine="420"/>
        <w:rPr>
          <w:rFonts w:eastAsiaTheme="minorEastAsia"/>
        </w:rPr>
      </w:pPr>
    </w:p>
    <w:p w:rsidR="00B47803" w:rsidRPr="009275C2" w:rsidRDefault="009275C2" w:rsidP="00B47803">
      <w:pPr>
        <w:snapToGrid w:val="0"/>
        <w:spacing w:line="320" w:lineRule="exact"/>
        <w:ind w:firstLine="420"/>
        <w:jc w:val="center"/>
        <w:rPr>
          <w:rFonts w:ascii="宋体" w:eastAsia="Times New Roman" w:hAnsi="宋体"/>
          <w:b/>
          <w:bCs/>
          <w:kern w:val="0"/>
        </w:rPr>
      </w:pPr>
      <w:r>
        <w:rPr>
          <w:rFonts w:ascii="宋体" w:eastAsiaTheme="minorEastAsia" w:hAnsi="宋体" w:hint="eastAsia"/>
          <w:b/>
          <w:bCs/>
          <w:kern w:val="0"/>
        </w:rPr>
        <w:lastRenderedPageBreak/>
        <w:t xml:space="preserve">表1  </w:t>
      </w:r>
      <w:proofErr w:type="spellStart"/>
      <w:r w:rsidR="00B47803" w:rsidRPr="009275C2">
        <w:rPr>
          <w:rFonts w:ascii="宋体" w:eastAsia="Times New Roman" w:hAnsi="宋体"/>
          <w:b/>
          <w:bCs/>
          <w:kern w:val="0"/>
        </w:rPr>
        <w:t>土壤湿润比</w:t>
      </w:r>
      <w:proofErr w:type="spellEnd"/>
      <w:r w:rsidR="00B47803" w:rsidRPr="009275C2">
        <w:rPr>
          <w:rFonts w:ascii="宋体" w:eastAsia="Times New Roman" w:hAnsi="宋体"/>
          <w:b/>
          <w:bCs/>
          <w:kern w:val="0"/>
        </w:rPr>
        <w:t>（%）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2352"/>
        <w:gridCol w:w="2352"/>
      </w:tblGrid>
      <w:tr w:rsidR="00B47803" w:rsidTr="009032B3">
        <w:trPr>
          <w:trHeight w:val="284"/>
          <w:jc w:val="center"/>
        </w:trPr>
        <w:tc>
          <w:tcPr>
            <w:tcW w:w="2351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作物</w:t>
            </w:r>
          </w:p>
        </w:tc>
        <w:tc>
          <w:tcPr>
            <w:tcW w:w="2352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滴</w:t>
            </w:r>
            <w:r>
              <w:rPr>
                <w:rFonts w:ascii="宋体" w:hAnsi="宋体" w:hint="eastAsia"/>
              </w:rPr>
              <w:t>灌、涌泉灌</w:t>
            </w:r>
          </w:p>
        </w:tc>
        <w:tc>
          <w:tcPr>
            <w:tcW w:w="2352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微喷灌</w:t>
            </w:r>
          </w:p>
        </w:tc>
      </w:tr>
      <w:tr w:rsidR="00B47803" w:rsidTr="009032B3">
        <w:trPr>
          <w:trHeight w:val="284"/>
          <w:jc w:val="center"/>
        </w:trPr>
        <w:tc>
          <w:tcPr>
            <w:tcW w:w="2351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果树</w:t>
            </w:r>
          </w:p>
        </w:tc>
        <w:tc>
          <w:tcPr>
            <w:tcW w:w="2352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25～40</w:t>
            </w:r>
          </w:p>
        </w:tc>
        <w:tc>
          <w:tcPr>
            <w:tcW w:w="2352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40～60</w:t>
            </w:r>
          </w:p>
        </w:tc>
      </w:tr>
      <w:tr w:rsidR="00B47803" w:rsidTr="009032B3">
        <w:trPr>
          <w:trHeight w:val="284"/>
          <w:jc w:val="center"/>
        </w:trPr>
        <w:tc>
          <w:tcPr>
            <w:tcW w:w="2351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葡萄、瓜类</w:t>
            </w:r>
          </w:p>
        </w:tc>
        <w:tc>
          <w:tcPr>
            <w:tcW w:w="2352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30～50</w:t>
            </w:r>
          </w:p>
        </w:tc>
        <w:tc>
          <w:tcPr>
            <w:tcW w:w="2352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40～70</w:t>
            </w:r>
          </w:p>
        </w:tc>
      </w:tr>
      <w:tr w:rsidR="00B47803" w:rsidTr="009032B3">
        <w:trPr>
          <w:trHeight w:val="284"/>
          <w:jc w:val="center"/>
        </w:trPr>
        <w:tc>
          <w:tcPr>
            <w:tcW w:w="2351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蔬菜</w:t>
            </w:r>
          </w:p>
        </w:tc>
        <w:tc>
          <w:tcPr>
            <w:tcW w:w="2352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60～90</w:t>
            </w:r>
          </w:p>
        </w:tc>
        <w:tc>
          <w:tcPr>
            <w:tcW w:w="2352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70～100</w:t>
            </w:r>
          </w:p>
        </w:tc>
      </w:tr>
      <w:tr w:rsidR="00B47803" w:rsidTr="009032B3">
        <w:trPr>
          <w:trHeight w:val="284"/>
          <w:jc w:val="center"/>
        </w:trPr>
        <w:tc>
          <w:tcPr>
            <w:tcW w:w="2351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粮棉油等作物</w:t>
            </w:r>
          </w:p>
        </w:tc>
        <w:tc>
          <w:tcPr>
            <w:tcW w:w="2352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60～90</w:t>
            </w:r>
          </w:p>
        </w:tc>
        <w:tc>
          <w:tcPr>
            <w:tcW w:w="2352" w:type="dxa"/>
          </w:tcPr>
          <w:p w:rsidR="00B47803" w:rsidRDefault="00B47803" w:rsidP="009032B3">
            <w:pPr>
              <w:snapToGrid w:val="0"/>
              <w:spacing w:before="120" w:after="120"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60～</w:t>
            </w:r>
            <w:r>
              <w:rPr>
                <w:rFonts w:ascii="宋体" w:hAnsi="宋体" w:hint="eastAsia"/>
              </w:rPr>
              <w:t>100</w:t>
            </w:r>
          </w:p>
        </w:tc>
      </w:tr>
    </w:tbl>
    <w:p w:rsidR="00B47803" w:rsidRDefault="00B47803" w:rsidP="00B47803">
      <w:pPr>
        <w:snapToGrid w:val="0"/>
        <w:spacing w:line="320" w:lineRule="exact"/>
        <w:ind w:firstLineChars="400" w:firstLine="840"/>
        <w:rPr>
          <w:rFonts w:ascii="宋体" w:hAnsi="宋体"/>
        </w:rPr>
      </w:pPr>
      <w:r>
        <w:rPr>
          <w:rFonts w:ascii="宋体" w:hAnsi="宋体"/>
        </w:rPr>
        <w:t>注：降雨多的地区宜选</w:t>
      </w:r>
      <w:r>
        <w:rPr>
          <w:rFonts w:ascii="宋体" w:hAnsi="宋体" w:hint="eastAsia"/>
        </w:rPr>
        <w:t>下限</w:t>
      </w:r>
      <w:r>
        <w:rPr>
          <w:rFonts w:ascii="宋体" w:hAnsi="宋体"/>
        </w:rPr>
        <w:t>值，降雨少的地区宜选</w:t>
      </w:r>
      <w:r>
        <w:rPr>
          <w:rFonts w:ascii="宋体" w:hAnsi="宋体" w:hint="eastAsia"/>
        </w:rPr>
        <w:t>上限</w:t>
      </w:r>
      <w:r>
        <w:rPr>
          <w:rFonts w:ascii="宋体" w:hAnsi="宋体"/>
        </w:rPr>
        <w:t>值</w:t>
      </w:r>
      <w:bookmarkStart w:id="17" w:name="_GoBack"/>
      <w:bookmarkEnd w:id="17"/>
    </w:p>
    <w:p w:rsidR="00B47803" w:rsidRDefault="00B47803" w:rsidP="009275C2">
      <w:pPr>
        <w:pStyle w:val="a5"/>
        <w:spacing w:line="320" w:lineRule="exact"/>
        <w:ind w:firstLineChars="196" w:firstLine="413"/>
        <w:rPr>
          <w:bCs/>
        </w:rPr>
      </w:pPr>
      <w:r w:rsidRPr="009275C2">
        <w:rPr>
          <w:rFonts w:hAnsi="宋体" w:hint="eastAsia"/>
          <w:b/>
          <w:bCs/>
        </w:rPr>
        <w:t>6.肥料选择：</w:t>
      </w:r>
      <w:r>
        <w:rPr>
          <w:rFonts w:hint="eastAsia"/>
          <w:bCs/>
        </w:rPr>
        <w:t>选择溶解度高、溶解速度较快、</w:t>
      </w:r>
      <w:r>
        <w:rPr>
          <w:bCs/>
        </w:rPr>
        <w:t>腐蚀性小</w:t>
      </w:r>
      <w:r>
        <w:rPr>
          <w:rFonts w:hint="eastAsia"/>
          <w:bCs/>
        </w:rPr>
        <w:t>、</w:t>
      </w:r>
      <w:r>
        <w:rPr>
          <w:bCs/>
        </w:rPr>
        <w:t>与灌溉水相互作用小</w:t>
      </w:r>
      <w:r>
        <w:rPr>
          <w:rFonts w:hint="eastAsia"/>
          <w:bCs/>
        </w:rPr>
        <w:t>的肥料。当</w:t>
      </w:r>
      <w:r>
        <w:rPr>
          <w:bCs/>
        </w:rPr>
        <w:t>灌溉水硬度较大时，</w:t>
      </w:r>
      <w:r>
        <w:rPr>
          <w:rFonts w:hint="eastAsia"/>
          <w:bCs/>
        </w:rPr>
        <w:t>宜</w:t>
      </w:r>
      <w:r>
        <w:rPr>
          <w:bCs/>
        </w:rPr>
        <w:t>采用酸性肥料</w:t>
      </w:r>
      <w:r>
        <w:rPr>
          <w:rFonts w:hint="eastAsia"/>
          <w:bCs/>
        </w:rPr>
        <w:t>。若固体肥料水不溶物</w:t>
      </w:r>
      <w:r>
        <w:rPr>
          <w:rFonts w:hint="eastAsia"/>
          <w:bCs/>
          <w:spacing w:val="5"/>
        </w:rPr>
        <w:t>＞</w:t>
      </w:r>
      <w:r>
        <w:rPr>
          <w:rFonts w:hint="eastAsia"/>
          <w:bCs/>
          <w:spacing w:val="5"/>
        </w:rPr>
        <w:t>5%</w:t>
      </w:r>
      <w:r>
        <w:rPr>
          <w:rFonts w:hint="eastAsia"/>
          <w:bCs/>
          <w:spacing w:val="5"/>
        </w:rPr>
        <w:t>时，需提前采取溶解、沉淀和过滤等措施。</w:t>
      </w:r>
    </w:p>
    <w:p w:rsidR="00B47803" w:rsidRDefault="00B47803" w:rsidP="009275C2">
      <w:pPr>
        <w:pStyle w:val="a5"/>
        <w:spacing w:line="320" w:lineRule="exact"/>
        <w:ind w:firstLine="422"/>
        <w:rPr>
          <w:bCs/>
        </w:rPr>
      </w:pPr>
      <w:r w:rsidRPr="009275C2">
        <w:rPr>
          <w:rFonts w:hAnsi="宋体" w:hint="eastAsia"/>
          <w:b/>
          <w:bCs/>
        </w:rPr>
        <w:t>7.肥料搭配：</w:t>
      </w:r>
      <w:r>
        <w:rPr>
          <w:rFonts w:hint="eastAsia"/>
          <w:bCs/>
        </w:rPr>
        <w:t>肥料搭配使用时应考虑</w:t>
      </w:r>
      <w:r>
        <w:rPr>
          <w:rFonts w:ascii="黑体"/>
          <w:bCs/>
        </w:rPr>
        <w:t>相容性</w:t>
      </w:r>
      <w:r>
        <w:rPr>
          <w:rFonts w:ascii="黑体" w:hint="eastAsia"/>
          <w:bCs/>
        </w:rPr>
        <w:t>，</w:t>
      </w:r>
      <w:r>
        <w:rPr>
          <w:rFonts w:hint="eastAsia"/>
          <w:bCs/>
        </w:rPr>
        <w:t>避免相互作用而产生沉淀或拮抗作用。</w:t>
      </w:r>
      <w:r>
        <w:rPr>
          <w:bCs/>
        </w:rPr>
        <w:t>混合</w:t>
      </w:r>
      <w:r>
        <w:rPr>
          <w:rFonts w:hint="eastAsia"/>
          <w:bCs/>
        </w:rPr>
        <w:t>后会</w:t>
      </w:r>
      <w:r>
        <w:rPr>
          <w:bCs/>
        </w:rPr>
        <w:t>产生沉淀的肥料</w:t>
      </w:r>
      <w:r>
        <w:rPr>
          <w:rFonts w:hint="eastAsia"/>
          <w:bCs/>
        </w:rPr>
        <w:t>应</w:t>
      </w:r>
      <w:r>
        <w:rPr>
          <w:bCs/>
        </w:rPr>
        <w:t>单</w:t>
      </w:r>
      <w:r>
        <w:rPr>
          <w:rFonts w:hint="eastAsia"/>
          <w:bCs/>
        </w:rPr>
        <w:t>独施用</w:t>
      </w:r>
      <w:r>
        <w:rPr>
          <w:bCs/>
        </w:rPr>
        <w:t>，</w:t>
      </w:r>
      <w:r>
        <w:rPr>
          <w:rFonts w:hint="eastAsia"/>
          <w:bCs/>
        </w:rPr>
        <w:t>即第一种</w:t>
      </w:r>
      <w:r>
        <w:rPr>
          <w:bCs/>
        </w:rPr>
        <w:t>肥料</w:t>
      </w:r>
      <w:r>
        <w:rPr>
          <w:rFonts w:hint="eastAsia"/>
          <w:bCs/>
        </w:rPr>
        <w:t>施用后</w:t>
      </w:r>
      <w:r>
        <w:rPr>
          <w:bCs/>
        </w:rPr>
        <w:t>，</w:t>
      </w:r>
      <w:r>
        <w:rPr>
          <w:rFonts w:hint="eastAsia"/>
          <w:bCs/>
        </w:rPr>
        <w:t>用</w:t>
      </w:r>
      <w:r>
        <w:rPr>
          <w:bCs/>
        </w:rPr>
        <w:t>清水充分冲洗系统</w:t>
      </w:r>
      <w:r>
        <w:rPr>
          <w:rFonts w:hint="eastAsia"/>
          <w:bCs/>
        </w:rPr>
        <w:t>，然</w:t>
      </w:r>
      <w:r>
        <w:rPr>
          <w:bCs/>
        </w:rPr>
        <w:t>后再</w:t>
      </w:r>
      <w:r>
        <w:rPr>
          <w:rFonts w:hint="eastAsia"/>
          <w:bCs/>
        </w:rPr>
        <w:t>施用第二种</w:t>
      </w:r>
      <w:r>
        <w:rPr>
          <w:bCs/>
        </w:rPr>
        <w:t>肥料。</w:t>
      </w:r>
    </w:p>
    <w:p w:rsidR="00B47803" w:rsidRDefault="00B47803" w:rsidP="009275C2">
      <w:pPr>
        <w:pStyle w:val="a5"/>
        <w:spacing w:line="320" w:lineRule="exact"/>
        <w:ind w:firstLineChars="196" w:firstLine="413"/>
        <w:rPr>
          <w:bCs/>
        </w:rPr>
      </w:pPr>
      <w:bookmarkStart w:id="18" w:name="_Toc294737625"/>
      <w:r w:rsidRPr="009275C2">
        <w:rPr>
          <w:rFonts w:hAnsi="宋体" w:hint="eastAsia"/>
          <w:b/>
          <w:bCs/>
        </w:rPr>
        <w:t>8</w:t>
      </w:r>
      <w:bookmarkEnd w:id="18"/>
      <w:r w:rsidRPr="009275C2">
        <w:rPr>
          <w:rFonts w:hAnsi="宋体" w:hint="eastAsia"/>
          <w:b/>
          <w:bCs/>
        </w:rPr>
        <w:t>.</w:t>
      </w:r>
      <w:r w:rsidRPr="009275C2">
        <w:rPr>
          <w:rFonts w:hAnsi="宋体"/>
          <w:b/>
          <w:bCs/>
        </w:rPr>
        <w:t>施肥制度</w:t>
      </w:r>
      <w:r w:rsidRPr="009275C2">
        <w:rPr>
          <w:rFonts w:hAnsi="宋体" w:hint="eastAsia"/>
          <w:b/>
          <w:bCs/>
        </w:rPr>
        <w:t>制定：</w:t>
      </w:r>
      <w:r>
        <w:rPr>
          <w:rFonts w:hint="eastAsia"/>
          <w:bCs/>
        </w:rPr>
        <w:t>按照目标产量、作物需肥规律、土壤养分含量和灌溉施肥特点制定施肥制度，包括</w:t>
      </w:r>
      <w:r>
        <w:rPr>
          <w:bCs/>
        </w:rPr>
        <w:t>施肥量</w:t>
      </w:r>
      <w:r>
        <w:rPr>
          <w:rFonts w:hint="eastAsia"/>
          <w:bCs/>
        </w:rPr>
        <w:t>、施肥次数、施肥时间、</w:t>
      </w:r>
      <w:r>
        <w:rPr>
          <w:bCs/>
        </w:rPr>
        <w:t>养分配比、肥料品种等。</w:t>
      </w:r>
    </w:p>
    <w:p w:rsidR="00B47803" w:rsidRDefault="00B47803" w:rsidP="009275C2">
      <w:pPr>
        <w:pStyle w:val="a5"/>
        <w:spacing w:line="320" w:lineRule="exact"/>
        <w:ind w:firstLineChars="196" w:firstLine="413"/>
        <w:rPr>
          <w:bCs/>
        </w:rPr>
      </w:pPr>
      <w:r w:rsidRPr="009275C2">
        <w:rPr>
          <w:rFonts w:hAnsi="宋体" w:hint="eastAsia"/>
          <w:b/>
          <w:bCs/>
        </w:rPr>
        <w:t>9.灌溉施肥制度制定：</w:t>
      </w:r>
      <w:r>
        <w:rPr>
          <w:rFonts w:hint="eastAsia"/>
          <w:bCs/>
        </w:rPr>
        <w:t>按照肥随水走、少量多次、</w:t>
      </w:r>
      <w:r>
        <w:rPr>
          <w:bCs/>
        </w:rPr>
        <w:t>分阶段</w:t>
      </w:r>
      <w:r>
        <w:rPr>
          <w:rFonts w:hint="eastAsia"/>
          <w:bCs/>
        </w:rPr>
        <w:t>拟</w:t>
      </w:r>
      <w:r>
        <w:rPr>
          <w:bCs/>
        </w:rPr>
        <w:t>合</w:t>
      </w:r>
      <w:r>
        <w:rPr>
          <w:rFonts w:hint="eastAsia"/>
          <w:bCs/>
        </w:rPr>
        <w:t>的原则制定灌溉施肥制度，包括基肥水肥比例、作物不同生育期的灌溉施肥次数、时间、灌水定额、</w:t>
      </w:r>
      <w:r>
        <w:rPr>
          <w:bCs/>
        </w:rPr>
        <w:t>施肥量</w:t>
      </w:r>
      <w:r>
        <w:rPr>
          <w:rFonts w:hint="eastAsia"/>
          <w:bCs/>
        </w:rPr>
        <w:t>等，满足作物不同生育期水分和养分需要。根据灌溉制度，将肥料按灌水时间和次数进行分配，充分利用灌溉系统进行施肥，适当增加追肥数量和追肥次数，实现少量多次，提高养分利用率。根据施肥制度，对灌水时间和次数进行调整，作物需要施肥但不需要灌溉时，增加灌水次数，减少灌水定额，缩短灌水时间。根据天气变化、土壤墒情、作物长势等实际状况，及时对灌溉施肥制度进行调整。</w:t>
      </w:r>
    </w:p>
    <w:p w:rsidR="00B47803" w:rsidRDefault="00B47803" w:rsidP="00B47803">
      <w:pPr>
        <w:spacing w:line="320" w:lineRule="exact"/>
        <w:ind w:firstLine="420"/>
      </w:pPr>
      <w:r w:rsidRPr="009275C2">
        <w:rPr>
          <w:rFonts w:ascii="宋体" w:eastAsia="Times New Roman" w:hAnsi="宋体" w:hint="eastAsia"/>
          <w:b/>
          <w:bCs/>
          <w:kern w:val="0"/>
        </w:rPr>
        <w:t>10.系统使用和维护：</w:t>
      </w:r>
      <w:r>
        <w:rPr>
          <w:rFonts w:hint="eastAsia"/>
          <w:bCs/>
        </w:rPr>
        <w:t>灌溉施肥系统使用时应先滴清水，</w:t>
      </w:r>
      <w:proofErr w:type="gramStart"/>
      <w:r>
        <w:rPr>
          <w:rFonts w:hint="eastAsia"/>
          <w:bCs/>
        </w:rPr>
        <w:t>待压力</w:t>
      </w:r>
      <w:proofErr w:type="gramEnd"/>
      <w:r>
        <w:rPr>
          <w:rFonts w:hint="eastAsia"/>
          <w:bCs/>
        </w:rPr>
        <w:t>稳定后再施肥，施肥完成后再滴清水。施肥前、后滴清水时间根据系统管道长短、大小及系统流量确定，一般为</w:t>
      </w:r>
      <w:r>
        <w:rPr>
          <w:rFonts w:hint="eastAsia"/>
          <w:bCs/>
        </w:rPr>
        <w:t>10min-30min</w:t>
      </w:r>
      <w:r>
        <w:rPr>
          <w:rFonts w:hint="eastAsia"/>
          <w:bCs/>
        </w:rPr>
        <w:t>。</w:t>
      </w:r>
      <w:r>
        <w:rPr>
          <w:rFonts w:hAnsi="宋体" w:hint="eastAsia"/>
          <w:bCs/>
        </w:rPr>
        <w:t>在灌水器出水口利用电导率仪</w:t>
      </w:r>
      <w:r>
        <w:rPr>
          <w:rFonts w:hint="eastAsia"/>
          <w:bCs/>
        </w:rPr>
        <w:t>等</w:t>
      </w:r>
      <w:r>
        <w:rPr>
          <w:rFonts w:hAnsi="宋体" w:hint="eastAsia"/>
          <w:bCs/>
        </w:rPr>
        <w:t>定时监测</w:t>
      </w:r>
      <w:r>
        <w:rPr>
          <w:rFonts w:hint="eastAsia"/>
          <w:bCs/>
        </w:rPr>
        <w:t>溶液浓度，通常电导率不大于</w:t>
      </w:r>
      <w:r>
        <w:rPr>
          <w:rFonts w:hint="eastAsia"/>
          <w:bCs/>
        </w:rPr>
        <w:t xml:space="preserve">3 </w:t>
      </w:r>
      <w:proofErr w:type="spellStart"/>
      <w:r>
        <w:rPr>
          <w:rFonts w:hint="eastAsia"/>
          <w:bCs/>
        </w:rPr>
        <w:t>ms</w:t>
      </w:r>
      <w:proofErr w:type="spellEnd"/>
      <w:r>
        <w:rPr>
          <w:rFonts w:hint="eastAsia"/>
          <w:bCs/>
        </w:rPr>
        <w:t>/cm</w:t>
      </w:r>
      <w:r>
        <w:rPr>
          <w:rFonts w:hint="eastAsia"/>
          <w:bCs/>
        </w:rPr>
        <w:t>，避免肥害。定期检查、及时维修系统设备，防止漏水使作物灌水不均匀。经常检查系统首部和压力调节器压力，当过滤器前后</w:t>
      </w:r>
      <w:r>
        <w:rPr>
          <w:rFonts w:hint="eastAsia"/>
        </w:rPr>
        <w:t>压差大于</w:t>
      </w:r>
      <w:r>
        <w:rPr>
          <w:rFonts w:hint="eastAsia"/>
        </w:rPr>
        <w:t xml:space="preserve">0.02Mpa -0.07Mpa </w:t>
      </w:r>
      <w:r>
        <w:rPr>
          <w:rFonts w:hint="eastAsia"/>
        </w:rPr>
        <w:t>时，应清洗过滤器。定期对离心过滤器集沙罐进行排沙。作物生育期第一次和最后一次灌溉时应冲洗系统。每灌溉</w:t>
      </w:r>
      <w:r>
        <w:rPr>
          <w:rFonts w:hint="eastAsia"/>
        </w:rPr>
        <w:t>2-3</w:t>
      </w:r>
      <w:r>
        <w:rPr>
          <w:rFonts w:hint="eastAsia"/>
        </w:rPr>
        <w:t>次后冲洗</w:t>
      </w:r>
      <w:r>
        <w:rPr>
          <w:rFonts w:hint="eastAsia"/>
        </w:rPr>
        <w:t>1</w:t>
      </w:r>
      <w:r>
        <w:rPr>
          <w:rFonts w:hint="eastAsia"/>
        </w:rPr>
        <w:t>次。作物生育期结束后应进行系统排水，防止冬季结冰爆管，做好易损易盗部件（空气阀、真空阀、调压阀、球阀等）保护。</w:t>
      </w:r>
    </w:p>
    <w:p w:rsidR="00B47803" w:rsidRDefault="00B47803" w:rsidP="00B47803">
      <w:pPr>
        <w:spacing w:line="320" w:lineRule="exact"/>
        <w:ind w:firstLine="422"/>
        <w:jc w:val="left"/>
      </w:pPr>
      <w:r>
        <w:rPr>
          <w:rFonts w:hAnsi="宋体" w:hint="eastAsia"/>
          <w:b/>
          <w:bCs/>
        </w:rPr>
        <w:t>适宜区域：</w:t>
      </w:r>
      <w:r>
        <w:rPr>
          <w:rFonts w:hAnsi="宋体" w:hint="eastAsia"/>
        </w:rPr>
        <w:t>全国设施农业及水浇地农业区，广泛适用于小麦、玉米、马铃薯、棉花、蔬菜、水果、花卉、茶叶等作物。</w:t>
      </w:r>
    </w:p>
    <w:p w:rsidR="00B47803" w:rsidRDefault="00B47803" w:rsidP="00B47803">
      <w:pPr>
        <w:spacing w:line="320" w:lineRule="exact"/>
        <w:ind w:firstLine="422"/>
        <w:jc w:val="left"/>
      </w:pPr>
      <w:r>
        <w:rPr>
          <w:rFonts w:hAnsi="宋体" w:hint="eastAsia"/>
          <w:b/>
          <w:bCs/>
        </w:rPr>
        <w:t>技术依托单位：</w:t>
      </w:r>
      <w:r>
        <w:rPr>
          <w:rFonts w:hAnsi="宋体" w:hint="eastAsia"/>
        </w:rPr>
        <w:t>全国农业技术推广服务中心、内蒙古自治区土肥站、山东省土壤肥料总站、北京市农业技术推广站</w:t>
      </w:r>
    </w:p>
    <w:p w:rsidR="00B47803" w:rsidRPr="009275C2" w:rsidRDefault="00B47803" w:rsidP="00B47803">
      <w:pPr>
        <w:spacing w:line="320" w:lineRule="exact"/>
        <w:ind w:firstLine="420"/>
        <w:rPr>
          <w:rFonts w:ascii="宋体" w:eastAsia="Times New Roman" w:hAnsi="宋体"/>
          <w:b/>
          <w:bCs/>
          <w:kern w:val="0"/>
        </w:rPr>
      </w:pPr>
      <w:r w:rsidRPr="009275C2">
        <w:rPr>
          <w:rFonts w:ascii="宋体" w:eastAsia="Times New Roman" w:hAnsi="宋体"/>
          <w:b/>
          <w:bCs/>
          <w:kern w:val="0"/>
        </w:rPr>
        <w:t>1.</w:t>
      </w:r>
      <w:r w:rsidRPr="009275C2">
        <w:rPr>
          <w:rFonts w:ascii="宋体" w:eastAsia="Times New Roman" w:hAnsi="宋体" w:hint="eastAsia"/>
          <w:b/>
          <w:bCs/>
          <w:kern w:val="0"/>
        </w:rPr>
        <w:t>全国农业技术推广服务中心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联系地址：北京市朝阳区麦子店街</w:t>
      </w:r>
      <w:r>
        <w:t>20</w:t>
      </w:r>
      <w:r>
        <w:rPr>
          <w:rFonts w:hAnsi="宋体" w:hint="eastAsia"/>
        </w:rPr>
        <w:t>号楼</w:t>
      </w:r>
      <w:r>
        <w:t>718</w:t>
      </w:r>
      <w:r>
        <w:rPr>
          <w:rFonts w:hAnsi="宋体" w:hint="eastAsia"/>
        </w:rPr>
        <w:t>室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邮政编码：</w:t>
      </w:r>
      <w:r>
        <w:t>100125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人：吴勇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联系电话：</w:t>
      </w:r>
      <w:r>
        <w:t>010</w:t>
      </w:r>
      <w:r>
        <w:rPr>
          <w:rFonts w:hAnsi="宋体" w:hint="eastAsia"/>
        </w:rPr>
        <w:t>－</w:t>
      </w:r>
      <w:r>
        <w:t>59194533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lastRenderedPageBreak/>
        <w:t>电子邮箱等：</w:t>
      </w:r>
      <w:hyperlink r:id="rId8" w:history="1">
        <w:r>
          <w:t>water@agri.gov.cn</w:t>
        </w:r>
      </w:hyperlink>
    </w:p>
    <w:p w:rsidR="00B47803" w:rsidRPr="009275C2" w:rsidRDefault="00B47803" w:rsidP="00B47803">
      <w:pPr>
        <w:spacing w:line="320" w:lineRule="exact"/>
        <w:ind w:firstLine="420"/>
        <w:rPr>
          <w:rFonts w:ascii="宋体" w:eastAsia="Times New Roman" w:hAnsi="宋体"/>
          <w:b/>
          <w:bCs/>
          <w:kern w:val="0"/>
        </w:rPr>
      </w:pPr>
      <w:r w:rsidRPr="009275C2">
        <w:rPr>
          <w:rFonts w:ascii="宋体" w:eastAsia="Times New Roman" w:hAnsi="宋体"/>
          <w:b/>
          <w:bCs/>
          <w:kern w:val="0"/>
        </w:rPr>
        <w:t xml:space="preserve">2. </w:t>
      </w:r>
      <w:r w:rsidRPr="009275C2">
        <w:rPr>
          <w:rFonts w:ascii="宋体" w:eastAsia="Times New Roman" w:hAnsi="宋体" w:hint="eastAsia"/>
          <w:b/>
          <w:bCs/>
          <w:kern w:val="0"/>
        </w:rPr>
        <w:t>内蒙古自治区土肥站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联系地址：呼和浩特市乌兰察布东街</w:t>
      </w:r>
      <w:r>
        <w:t>70</w:t>
      </w:r>
      <w:r>
        <w:rPr>
          <w:rFonts w:hAnsi="宋体" w:hint="eastAsia"/>
        </w:rPr>
        <w:t>号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邮政编码：</w:t>
      </w:r>
      <w:r>
        <w:t>6652231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人：</w:t>
      </w:r>
      <w:r>
        <w:t xml:space="preserve"> </w:t>
      </w:r>
      <w:r>
        <w:rPr>
          <w:rFonts w:hAnsi="宋体" w:hint="eastAsia"/>
        </w:rPr>
        <w:t>白云龙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联系电话：</w:t>
      </w:r>
      <w:r>
        <w:t>0471-15947617558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电子邮箱：</w:t>
      </w:r>
      <w:r>
        <w:rPr>
          <w:rFonts w:cs="宋体"/>
        </w:rPr>
        <w:t>nmgtfzjsk@163.com</w:t>
      </w:r>
    </w:p>
    <w:p w:rsidR="00B47803" w:rsidRPr="009275C2" w:rsidRDefault="00B47803" w:rsidP="00B47803">
      <w:pPr>
        <w:spacing w:line="320" w:lineRule="exact"/>
        <w:ind w:firstLine="420"/>
        <w:jc w:val="left"/>
        <w:rPr>
          <w:rFonts w:ascii="宋体" w:eastAsia="Times New Roman" w:hAnsi="宋体"/>
          <w:b/>
          <w:bCs/>
          <w:kern w:val="0"/>
        </w:rPr>
      </w:pPr>
      <w:r w:rsidRPr="009275C2">
        <w:rPr>
          <w:rFonts w:ascii="宋体" w:eastAsia="Times New Roman" w:hAnsi="宋体"/>
          <w:b/>
          <w:bCs/>
          <w:kern w:val="0"/>
        </w:rPr>
        <w:t>3.</w:t>
      </w:r>
      <w:r w:rsidRPr="009275C2">
        <w:rPr>
          <w:rFonts w:ascii="宋体" w:eastAsia="Times New Roman" w:hAnsi="宋体" w:hint="eastAsia"/>
          <w:b/>
          <w:bCs/>
          <w:kern w:val="0"/>
        </w:rPr>
        <w:t>山东省土壤肥料总站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联系地址：山东省济南市历城区工业北路</w:t>
      </w:r>
      <w:r>
        <w:t>200</w:t>
      </w:r>
      <w:r>
        <w:rPr>
          <w:rFonts w:hAnsi="宋体" w:hint="eastAsia"/>
        </w:rPr>
        <w:t>号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邮政编码：</w:t>
      </w:r>
      <w:r>
        <w:t>81608034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人：于舜章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联系电话：</w:t>
      </w:r>
      <w:r>
        <w:t>0531-</w:t>
      </w:r>
      <w:r>
        <w:rPr>
          <w:spacing w:val="-10"/>
        </w:rPr>
        <w:t>81608039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电子邮箱：</w:t>
      </w:r>
      <w:r>
        <w:t>tufeizhan@163.com</w:t>
      </w:r>
    </w:p>
    <w:p w:rsidR="00B47803" w:rsidRPr="009275C2" w:rsidRDefault="00B47803" w:rsidP="00B47803">
      <w:pPr>
        <w:spacing w:line="320" w:lineRule="exact"/>
        <w:ind w:firstLine="420"/>
        <w:jc w:val="left"/>
        <w:rPr>
          <w:rFonts w:ascii="宋体" w:eastAsia="Times New Roman" w:hAnsi="宋体"/>
          <w:b/>
          <w:bCs/>
          <w:kern w:val="0"/>
        </w:rPr>
      </w:pPr>
      <w:r w:rsidRPr="009275C2">
        <w:rPr>
          <w:rFonts w:ascii="宋体" w:eastAsia="Times New Roman" w:hAnsi="宋体"/>
          <w:b/>
          <w:bCs/>
          <w:kern w:val="0"/>
        </w:rPr>
        <w:t>4.</w:t>
      </w:r>
      <w:r w:rsidRPr="009275C2">
        <w:rPr>
          <w:rFonts w:ascii="宋体" w:eastAsia="Times New Roman" w:hAnsi="宋体" w:hint="eastAsia"/>
          <w:b/>
          <w:bCs/>
          <w:kern w:val="0"/>
        </w:rPr>
        <w:t>北京市农业技术推广站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联系地址：</w:t>
      </w:r>
      <w:r>
        <w:rPr>
          <w:rFonts w:hAnsi="宋体" w:cs="宋体" w:hint="eastAsia"/>
          <w:kern w:val="0"/>
        </w:rPr>
        <w:t>北京市朝阳区惠新里高原街</w:t>
      </w:r>
      <w:r>
        <w:rPr>
          <w:rFonts w:cs="宋体"/>
          <w:kern w:val="0"/>
        </w:rPr>
        <w:t>4</w:t>
      </w:r>
      <w:r>
        <w:rPr>
          <w:rFonts w:hAnsi="宋体" w:cs="宋体" w:hint="eastAsia"/>
          <w:kern w:val="0"/>
        </w:rPr>
        <w:t>号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邮政编码：</w:t>
      </w:r>
      <w:r>
        <w:rPr>
          <w:rFonts w:cs="宋体"/>
          <w:kern w:val="0"/>
        </w:rPr>
        <w:t>100029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人：程明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联系电话：</w:t>
      </w:r>
      <w:r>
        <w:t>010-84638049</w:t>
      </w:r>
    </w:p>
    <w:p w:rsidR="00B47803" w:rsidRDefault="00B47803" w:rsidP="00B47803">
      <w:pPr>
        <w:spacing w:line="320" w:lineRule="exact"/>
        <w:ind w:firstLine="420"/>
        <w:jc w:val="left"/>
      </w:pPr>
      <w:r>
        <w:rPr>
          <w:rFonts w:hAnsi="宋体" w:hint="eastAsia"/>
        </w:rPr>
        <w:t>电子邮箱：</w:t>
      </w:r>
      <w:r>
        <w:rPr>
          <w:spacing w:val="-10"/>
        </w:rPr>
        <w:t>Chengmingtuiguang@163.com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A07A3B" w:rsidRPr="00B47803" w:rsidRDefault="00A07A3B" w:rsidP="00B47803"/>
    <w:sectPr w:rsidR="00A07A3B" w:rsidRPr="00B47803" w:rsidSect="00A0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1B" w:rsidRDefault="001E421B" w:rsidP="002336EC">
      <w:r>
        <w:separator/>
      </w:r>
    </w:p>
  </w:endnote>
  <w:endnote w:type="continuationSeparator" w:id="0">
    <w:p w:rsidR="001E421B" w:rsidRDefault="001E421B" w:rsidP="0023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1B" w:rsidRDefault="001E421B" w:rsidP="002336EC">
      <w:r>
        <w:separator/>
      </w:r>
    </w:p>
  </w:footnote>
  <w:footnote w:type="continuationSeparator" w:id="0">
    <w:p w:rsidR="001E421B" w:rsidRDefault="001E421B" w:rsidP="0023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9966"/>
    <w:multiLevelType w:val="multilevel"/>
    <w:tmpl w:val="54929966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CE"/>
    <w:rsid w:val="001E421B"/>
    <w:rsid w:val="002336EC"/>
    <w:rsid w:val="00270DE8"/>
    <w:rsid w:val="0057103B"/>
    <w:rsid w:val="006201CE"/>
    <w:rsid w:val="009275C2"/>
    <w:rsid w:val="00A07A3B"/>
    <w:rsid w:val="00B4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6201CE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201CE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233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6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6EC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段"/>
    <w:rsid w:val="00B47803"/>
    <w:pPr>
      <w:autoSpaceDE w:val="0"/>
      <w:autoSpaceDN w:val="0"/>
      <w:ind w:firstLineChars="200" w:firstLine="200"/>
      <w:jc w:val="both"/>
    </w:pPr>
    <w:rPr>
      <w:rFonts w:ascii="宋体" w:eastAsia="Times New Roman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6201CE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201CE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233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6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6EC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段"/>
    <w:rsid w:val="00B47803"/>
    <w:pPr>
      <w:autoSpaceDE w:val="0"/>
      <w:autoSpaceDN w:val="0"/>
      <w:ind w:firstLineChars="200" w:firstLine="200"/>
      <w:jc w:val="both"/>
    </w:pPr>
    <w:rPr>
      <w:rFonts w:ascii="宋体" w:eastAsia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@agri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Admin</cp:lastModifiedBy>
  <cp:revision>7</cp:revision>
  <dcterms:created xsi:type="dcterms:W3CDTF">2015-09-17T02:08:00Z</dcterms:created>
  <dcterms:modified xsi:type="dcterms:W3CDTF">2015-09-18T06:06:00Z</dcterms:modified>
</cp:coreProperties>
</file>